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BFBFBF" w:themeFill="background1" w:themeFillShade="bf"/>
        <w:spacing w:lineRule="auto" w:line="360" w:before="120" w:after="120"/>
        <w:jc w:val="center"/>
        <w:rPr>
          <w:lang w:val="pt-BR"/>
        </w:rPr>
      </w:pPr>
      <w:r>
        <w:rPr>
          <w:rFonts w:cs="Arial" w:ascii="Arial" w:hAnsi="Arial"/>
          <w:b/>
          <w:sz w:val="26"/>
          <w:szCs w:val="26"/>
          <w:lang w:val="pt-BR"/>
        </w:rPr>
        <w:t>TERMO DE GARANTIA TÉCNICA</w:t>
      </w:r>
    </w:p>
    <w:p>
      <w:pPr>
        <w:pStyle w:val="Normal"/>
        <w:shd w:val="clear" w:color="auto" w:fill="BFBFBF" w:themeFill="background1" w:themeFillShade="bf"/>
        <w:spacing w:lineRule="auto" w:line="360" w:before="120" w:after="120"/>
        <w:jc w:val="center"/>
        <w:rPr>
          <w:lang w:val="pt-BR"/>
        </w:rPr>
      </w:pPr>
      <w:r>
        <w:rPr>
          <w:rFonts w:cs="Arial" w:ascii="Arial" w:hAnsi="Arial"/>
          <w:b/>
          <w:sz w:val="26"/>
          <w:szCs w:val="26"/>
          <w:lang w:val="pt-BR"/>
        </w:rPr>
        <w:t>MÓVEIS</w:t>
      </w:r>
    </w:p>
    <w:p>
      <w:pPr>
        <w:pStyle w:val="Normal"/>
        <w:spacing w:lineRule="auto" w:line="360" w:before="120" w:after="120"/>
        <w:jc w:val="center"/>
        <w:rPr>
          <w:rFonts w:ascii="Arial" w:hAnsi="Arial" w:cs="Arial"/>
          <w:b/>
          <w:lang w:val="pt-BR"/>
        </w:rPr>
      </w:pPr>
      <w:r>
        <w:rPr>
          <w:rFonts w:cs="Arial" w:ascii="Arial" w:hAnsi="Arial"/>
          <w:b/>
          <w:lang w:val="pt-BR"/>
        </w:rPr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 xml:space="preserve">A </w:t>
      </w:r>
      <w:bookmarkStart w:id="0" w:name="_Hlk30516902"/>
      <w:r>
        <w:rPr>
          <w:rFonts w:cs="Arial" w:ascii="Arial" w:hAnsi="Arial"/>
          <w:b/>
          <w:color w:val="FF0000"/>
          <w:lang w:val="pt-BR"/>
        </w:rPr>
        <w:t>[RAZÃO SOCIAL DA CONTRATADA]</w:t>
      </w:r>
      <w:r>
        <w:rPr>
          <w:rFonts w:cs="Arial" w:ascii="Arial" w:hAnsi="Arial"/>
          <w:lang w:val="pt-BR"/>
        </w:rPr>
        <w:t xml:space="preserve">, </w:t>
      </w:r>
      <w:bookmarkEnd w:id="0"/>
      <w:r>
        <w:rPr>
          <w:rFonts w:cs="Arial" w:ascii="Arial" w:hAnsi="Arial"/>
          <w:lang w:val="pt-BR"/>
        </w:rPr>
        <w:t xml:space="preserve">CNPJ nº </w:t>
      </w:r>
      <w:r>
        <w:rPr>
          <w:rFonts w:cs="Arial" w:ascii="Arial" w:hAnsi="Arial"/>
          <w:color w:val="FF0000"/>
          <w:lang w:val="pt-BR"/>
        </w:rPr>
        <w:t>[XXXXXX]</w:t>
      </w:r>
      <w:r>
        <w:rPr>
          <w:rFonts w:cs="Arial" w:ascii="Arial" w:hAnsi="Arial"/>
          <w:lang w:val="pt-BR"/>
        </w:rPr>
        <w:t xml:space="preserve">, sediada na </w:t>
      </w:r>
      <w:r>
        <w:rPr>
          <w:rFonts w:cs="Arial" w:ascii="Arial" w:hAnsi="Arial"/>
          <w:color w:val="FF0000"/>
          <w:lang w:val="pt-BR"/>
        </w:rPr>
        <w:t>[Rua/Avenida XXXXXX]</w:t>
      </w:r>
      <w:r>
        <w:rPr>
          <w:rFonts w:cs="Arial" w:ascii="Arial" w:hAnsi="Arial"/>
          <w:lang w:val="pt-BR"/>
        </w:rPr>
        <w:t xml:space="preserve">, n° </w:t>
      </w:r>
      <w:r>
        <w:rPr>
          <w:rFonts w:cs="Arial" w:ascii="Arial" w:hAnsi="Arial"/>
          <w:color w:val="FF0000"/>
          <w:lang w:val="pt-BR"/>
        </w:rPr>
        <w:t>[XXX]</w:t>
      </w:r>
      <w:r>
        <w:rPr>
          <w:rFonts w:cs="Arial" w:ascii="Arial" w:hAnsi="Arial"/>
          <w:lang w:val="pt-BR"/>
        </w:rPr>
        <w:t xml:space="preserve">, bairro </w:t>
      </w:r>
      <w:r>
        <w:rPr>
          <w:rFonts w:cs="Arial" w:ascii="Arial" w:hAnsi="Arial"/>
          <w:color w:val="FF0000"/>
          <w:lang w:val="pt-BR"/>
        </w:rPr>
        <w:t>[XXXXXX]</w:t>
      </w:r>
      <w:r>
        <w:rPr>
          <w:rFonts w:cs="Arial" w:ascii="Arial" w:hAnsi="Arial"/>
          <w:lang w:val="pt-BR"/>
        </w:rPr>
        <w:t xml:space="preserve">, </w:t>
      </w:r>
      <w:r>
        <w:rPr>
          <w:rFonts w:cs="Arial" w:ascii="Arial" w:hAnsi="Arial"/>
          <w:color w:val="FF0000"/>
          <w:lang w:val="pt-BR"/>
        </w:rPr>
        <w:t>[Cidade]-[UF]</w:t>
      </w:r>
      <w:r>
        <w:rPr>
          <w:rFonts w:cs="Arial" w:ascii="Arial" w:hAnsi="Arial"/>
          <w:lang w:val="pt-BR"/>
        </w:rPr>
        <w:t xml:space="preserve">, CEP </w:t>
      </w:r>
      <w:r>
        <w:rPr>
          <w:rFonts w:cs="Arial" w:ascii="Arial" w:hAnsi="Arial"/>
          <w:color w:val="FF0000"/>
          <w:lang w:val="pt-BR"/>
        </w:rPr>
        <w:t>[XXXXXX]</w:t>
      </w:r>
      <w:r>
        <w:rPr>
          <w:rFonts w:cs="Arial" w:ascii="Arial" w:hAnsi="Arial"/>
          <w:lang w:val="pt-BR"/>
        </w:rPr>
        <w:t xml:space="preserve">, doravante denominada </w:t>
      </w:r>
      <w:r>
        <w:rPr>
          <w:rFonts w:cs="Arial" w:ascii="Arial" w:hAnsi="Arial"/>
          <w:bCs/>
          <w:lang w:val="pt-BR"/>
        </w:rPr>
        <w:t>CONTRATADA</w:t>
      </w:r>
      <w:r>
        <w:rPr>
          <w:rFonts w:cs="Arial" w:ascii="Arial" w:hAnsi="Arial"/>
          <w:lang w:val="pt-BR"/>
        </w:rPr>
        <w:t xml:space="preserve">, neste ato representada por </w:t>
      </w:r>
      <w:r>
        <w:rPr>
          <w:rFonts w:cs="Arial" w:ascii="Arial" w:hAnsi="Arial"/>
          <w:color w:val="FF0000"/>
          <w:lang w:val="pt-BR"/>
        </w:rPr>
        <w:t>[NOME COMPLETO]</w:t>
      </w:r>
      <w:r>
        <w:rPr>
          <w:rFonts w:cs="Arial" w:ascii="Arial" w:hAnsi="Arial"/>
          <w:lang w:val="pt-BR"/>
        </w:rPr>
        <w:t>, CPF nº ***.</w:t>
      </w:r>
      <w:r>
        <w:rPr>
          <w:rFonts w:cs="Arial" w:ascii="Arial" w:hAnsi="Arial"/>
          <w:color w:val="FF0000"/>
          <w:lang w:val="pt-BR"/>
        </w:rPr>
        <w:t>XXX.XXX</w:t>
      </w:r>
      <w:r>
        <w:rPr>
          <w:rFonts w:cs="Arial" w:ascii="Arial" w:hAnsi="Arial"/>
          <w:lang w:val="pt-BR"/>
        </w:rPr>
        <w:noBreakHyphen/>
        <w:t xml:space="preserve">**, emite o presente </w:t>
      </w:r>
      <w:r>
        <w:rPr>
          <w:rFonts w:cs="Arial" w:ascii="Arial" w:hAnsi="Arial"/>
          <w:b/>
          <w:bCs/>
          <w:lang w:val="pt-BR"/>
        </w:rPr>
        <w:t>TERMO DE GARANTIA TÉCNICA</w:t>
      </w:r>
      <w:r>
        <w:rPr>
          <w:rFonts w:cs="Arial" w:ascii="Arial" w:hAnsi="Arial"/>
          <w:lang w:val="pt-BR"/>
        </w:rPr>
        <w:t xml:space="preserve">, em decorrência da homologação da </w:t>
      </w:r>
      <w:r>
        <w:rPr>
          <w:rFonts w:cs="Arial" w:ascii="Arial" w:hAnsi="Arial"/>
          <w:color w:val="FF0000"/>
          <w:lang w:val="pt-BR"/>
        </w:rPr>
        <w:t>[Modalidade de licitação]</w:t>
      </w:r>
      <w:r>
        <w:rPr>
          <w:rFonts w:cs="Arial" w:ascii="Arial" w:hAnsi="Arial"/>
          <w:lang w:val="pt-BR"/>
        </w:rPr>
        <w:t xml:space="preserve"> nº </w:t>
      </w:r>
      <w:r>
        <w:rPr>
          <w:rFonts w:cs="Arial" w:ascii="Arial" w:hAnsi="Arial"/>
          <w:color w:val="FF0000"/>
          <w:lang w:val="pt-BR"/>
        </w:rPr>
        <w:t xml:space="preserve">[XXX/aaaa] </w:t>
      </w:r>
      <w:r>
        <w:rPr>
          <w:rFonts w:cs="Arial" w:ascii="Arial" w:hAnsi="Arial"/>
          <w:lang w:val="pt-BR"/>
        </w:rPr>
        <w:t xml:space="preserve">pela DEFENSORIA PÚBLICA DO ESTADO DO PARANÁ (DPE-PR), nos seguintes termos e condições: 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rPr>
          <w:lang w:val="pt-BR"/>
        </w:rPr>
      </w:pPr>
      <w:r>
        <w:rPr>
          <w:rFonts w:cs="Arial" w:ascii="Arial" w:hAnsi="Arial"/>
          <w:b/>
          <w:lang w:val="pt-BR"/>
        </w:rPr>
        <w:t>1. OBJETO DA GARANTIA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 xml:space="preserve">1.1. O presente Termo estabelece as condições da </w:t>
      </w:r>
      <w:r>
        <w:rPr>
          <w:rFonts w:cs="Arial" w:ascii="Arial" w:hAnsi="Arial"/>
          <w:b/>
          <w:bCs/>
          <w:lang w:val="pt-BR"/>
        </w:rPr>
        <w:t>garantia legal</w:t>
      </w:r>
      <w:r>
        <w:rPr>
          <w:rFonts w:cs="Arial" w:ascii="Arial" w:hAnsi="Arial"/>
          <w:lang w:val="pt-BR"/>
        </w:rPr>
        <w:t xml:space="preserve"> e </w:t>
      </w:r>
      <w:r>
        <w:rPr>
          <w:rFonts w:cs="Arial" w:ascii="Arial" w:hAnsi="Arial"/>
          <w:b w:val="false"/>
          <w:bCs w:val="false"/>
          <w:lang w:val="pt-BR"/>
        </w:rPr>
        <w:t>da</w:t>
      </w:r>
      <w:r>
        <w:rPr>
          <w:rFonts w:cs="Arial" w:ascii="Arial" w:hAnsi="Arial"/>
          <w:b/>
          <w:bCs/>
          <w:lang w:val="pt-BR"/>
        </w:rPr>
        <w:t xml:space="preserve"> garantia técnica contratual complementar </w:t>
      </w:r>
      <w:r>
        <w:rPr>
          <w:rFonts w:cs="Arial" w:ascii="Arial" w:hAnsi="Arial"/>
          <w:lang w:val="pt-BR"/>
        </w:rPr>
        <w:t>aplicáveis aos móveis fornecidos à DPE</w:t>
        <w:noBreakHyphen/>
        <w:t xml:space="preserve">PR, conforme Contrato nº </w:t>
      </w:r>
      <w:r>
        <w:rPr>
          <w:rFonts w:cs="Arial" w:ascii="Arial" w:hAnsi="Arial"/>
          <w:color w:val="FF0000"/>
          <w:lang w:val="pt-BR"/>
        </w:rPr>
        <w:t>[XXX/aaaa]</w:t>
      </w:r>
      <w:r>
        <w:rPr>
          <w:rFonts w:cs="Arial" w:ascii="Arial" w:hAnsi="Arial"/>
          <w:lang w:val="pt-BR"/>
        </w:rPr>
        <w:t>, Nota de Empenho e demais documentos vinculados.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rPr>
          <w:lang w:val="pt-BR"/>
        </w:rPr>
      </w:pPr>
      <w:r>
        <w:rPr>
          <w:rFonts w:cs="Arial" w:ascii="Arial" w:hAnsi="Arial"/>
          <w:b/>
          <w:lang w:val="pt-BR"/>
        </w:rPr>
        <w:t>2. PRAZO DA GARANTIA</w:t>
      </w:r>
    </w:p>
    <w:p>
      <w:pPr>
        <w:pStyle w:val="Normal"/>
        <w:widowControl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>2.1. O prazo total de garantia do objeto é constituído pela soma d</w:t>
      </w:r>
      <w:r>
        <w:rPr>
          <w:rFonts w:cs="Arial" w:ascii="Arial" w:hAnsi="Arial"/>
          <w:lang w:val="pt-BR"/>
        </w:rPr>
        <w:t>os prazos das</w:t>
      </w:r>
      <w:r>
        <w:rPr>
          <w:rFonts w:cs="Arial" w:ascii="Arial" w:hAnsi="Arial"/>
          <w:lang w:val="pt-BR"/>
        </w:rPr>
        <w:t xml:space="preserve"> seguintes garantias:</w:t>
      </w:r>
    </w:p>
    <w:p>
      <w:pPr>
        <w:pStyle w:val="Normal"/>
        <w:widowControl/>
        <w:suppressAutoHyphens w:val="true"/>
        <w:bidi w:val="0"/>
        <w:spacing w:lineRule="auto" w:line="360" w:before="120" w:after="120"/>
        <w:ind w:hanging="0" w:left="567" w:right="0"/>
        <w:jc w:val="both"/>
        <w:rPr>
          <w:lang w:val="pt-BR"/>
        </w:rPr>
      </w:pPr>
      <w:r>
        <w:rPr>
          <w:rFonts w:cs="Arial" w:ascii="Arial" w:hAnsi="Arial"/>
          <w:lang w:val="pt-BR"/>
        </w:rPr>
        <w:t xml:space="preserve">2.1.1. </w:t>
      </w:r>
      <w:r>
        <w:rPr>
          <w:rFonts w:cs="Arial" w:ascii="Arial" w:hAnsi="Arial"/>
          <w:b/>
          <w:bCs/>
          <w:lang w:val="pt-BR"/>
        </w:rPr>
        <w:t>Garantia legal</w:t>
      </w:r>
      <w:r>
        <w:rPr>
          <w:rFonts w:cs="Arial" w:ascii="Arial" w:hAnsi="Arial"/>
          <w:lang w:val="pt-BR"/>
        </w:rPr>
        <w:t>: 90 (noventa) dias, conforme o Código de Defesa do Consumidor; e</w:t>
      </w:r>
    </w:p>
    <w:p>
      <w:pPr>
        <w:pStyle w:val="Normal"/>
        <w:widowControl/>
        <w:suppressAutoHyphens w:val="true"/>
        <w:bidi w:val="0"/>
        <w:spacing w:lineRule="auto" w:line="360" w:before="120" w:after="120"/>
        <w:ind w:hanging="0" w:left="567" w:right="0"/>
        <w:jc w:val="both"/>
        <w:rPr>
          <w:lang w:val="pt-BR"/>
        </w:rPr>
      </w:pPr>
      <w:r>
        <w:rPr>
          <w:rFonts w:cs="Arial" w:ascii="Arial" w:hAnsi="Arial"/>
          <w:lang w:val="pt-BR"/>
        </w:rPr>
        <w:t xml:space="preserve">2.1.2. </w:t>
      </w:r>
      <w:r>
        <w:rPr>
          <w:rFonts w:cs="Arial" w:ascii="Arial" w:hAnsi="Arial"/>
          <w:b/>
          <w:bCs/>
          <w:lang w:val="pt-BR"/>
        </w:rPr>
        <w:t>Garantia técnica contratual complementar</w:t>
      </w:r>
      <w:r>
        <w:rPr>
          <w:rFonts w:cs="Arial" w:ascii="Arial" w:hAnsi="Arial"/>
          <w:lang w:val="pt-BR"/>
        </w:rPr>
        <w:t>: 60 (sessenta) meses, iniciando-se imediatamente após o término da garantia legal.</w:t>
      </w:r>
    </w:p>
    <w:p>
      <w:pPr>
        <w:pStyle w:val="Normal"/>
        <w:widowControl/>
        <w:suppressAutoHyphens w:val="true"/>
        <w:bidi w:val="0"/>
        <w:spacing w:lineRule="auto" w:line="360" w:before="120" w:after="120"/>
        <w:ind w:hanging="0" w:left="0" w:right="0"/>
        <w:jc w:val="both"/>
        <w:rPr>
          <w:lang w:val="pt-BR"/>
        </w:rPr>
      </w:pPr>
      <w:r>
        <w:rPr>
          <w:rFonts w:cs="Arial" w:ascii="Arial" w:hAnsi="Arial"/>
          <w:lang w:val="pt-BR"/>
        </w:rPr>
        <w:t xml:space="preserve">2.2. O prazo inicia-se com a garantia legal e será contado a partir da data do Termo de Recebimento Definitivo da Etapa 1 (fornecimento dos móveis), conforme prevê o Contrato nº </w:t>
      </w:r>
      <w:r>
        <w:rPr>
          <w:rFonts w:cs="Arial" w:ascii="Arial" w:hAnsi="Arial"/>
          <w:color w:val="FF0000"/>
          <w:lang w:val="pt-BR"/>
        </w:rPr>
        <w:t>[XXX/aaaa]</w:t>
      </w:r>
      <w:r>
        <w:rPr>
          <w:rFonts w:cs="Arial" w:ascii="Arial" w:hAnsi="Arial"/>
          <w:lang w:val="pt-BR"/>
        </w:rPr>
        <w:t xml:space="preserve"> e a Lei nº 14.133/2021.</w:t>
      </w:r>
    </w:p>
    <w:p>
      <w:pPr>
        <w:pStyle w:val="Normal"/>
        <w:widowControl/>
        <w:suppressAutoHyphens w:val="true"/>
        <w:bidi w:val="0"/>
        <w:spacing w:lineRule="auto" w:line="360" w:before="120" w:after="120"/>
        <w:ind w:hanging="0" w:left="0" w:right="0"/>
        <w:jc w:val="both"/>
        <w:rPr>
          <w:lang w:val="pt-BR"/>
        </w:rPr>
      </w:pPr>
      <w:r>
        <w:rPr>
          <w:rFonts w:cs="Arial" w:ascii="Arial" w:hAnsi="Arial"/>
          <w:lang w:val="pt-BR"/>
        </w:rPr>
        <w:t xml:space="preserve">2.3. Caso o fabricante ofereça prazo superior, prevalecerá o período mais longo. 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rPr>
          <w:lang w:val="pt-BR"/>
        </w:rPr>
      </w:pPr>
      <w:r>
        <w:rPr>
          <w:rFonts w:cs="Arial" w:ascii="Arial" w:hAnsi="Arial"/>
          <w:b/>
          <w:lang w:val="pt-BR"/>
        </w:rPr>
        <w:t>3. COBERTURA DA GARANTIA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>3.1. A cobertura da garantia compreende: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lang w:val="pt-BR"/>
        </w:rPr>
      </w:pPr>
      <w:r>
        <w:rPr>
          <w:rFonts w:cs="Arial" w:ascii="Arial" w:hAnsi="Arial"/>
          <w:lang w:val="pt-BR"/>
        </w:rPr>
        <w:t>3.1.1. defeitos de fabricação;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lang w:val="pt-BR"/>
        </w:rPr>
      </w:pPr>
      <w:r>
        <w:rPr>
          <w:rFonts w:cs="Arial" w:ascii="Arial" w:hAnsi="Arial"/>
          <w:lang w:val="pt-BR"/>
        </w:rPr>
        <w:t>3.1.2. vícios de qualidade; e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lang w:val="pt-BR"/>
        </w:rPr>
      </w:pPr>
      <w:r>
        <w:rPr>
          <w:rFonts w:cs="Arial" w:ascii="Arial" w:hAnsi="Arial"/>
          <w:lang w:val="pt-BR"/>
        </w:rPr>
        <w:t>3.1.3. falhas que comprometam o funcionamento normal dos móveis.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>3.2. A CONTRATADA deverá realizar, sem custos à DPE</w:t>
        <w:noBreakHyphen/>
        <w:t>PR: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lang w:val="pt-BR"/>
        </w:rPr>
      </w:pPr>
      <w:r>
        <w:rPr>
          <w:rFonts w:cs="Arial" w:ascii="Arial" w:hAnsi="Arial"/>
          <w:lang w:val="pt-BR"/>
        </w:rPr>
        <w:t>3.1.1. reparos; e/ou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lang w:val="pt-BR"/>
        </w:rPr>
      </w:pPr>
      <w:r>
        <w:rPr>
          <w:rFonts w:cs="Arial" w:ascii="Arial" w:hAnsi="Arial"/>
          <w:lang w:val="pt-BR"/>
        </w:rPr>
        <w:t>3.1.2. substituição de peças; e/ou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lang w:val="pt-BR"/>
        </w:rPr>
      </w:pPr>
      <w:r>
        <w:rPr>
          <w:rFonts w:cs="Arial" w:ascii="Arial" w:hAnsi="Arial"/>
          <w:lang w:val="pt-BR"/>
        </w:rPr>
        <w:t xml:space="preserve">3.1.3. substituição integral do produto, quando necessário. 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>3.3. Não estão cobertos pela garantia: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624" w:right="0"/>
        <w:jc w:val="both"/>
        <w:rPr>
          <w:lang w:val="pt-BR"/>
        </w:rPr>
      </w:pPr>
      <w:r>
        <w:rPr>
          <w:rFonts w:cs="Arial" w:ascii="Arial" w:hAnsi="Arial"/>
          <w:lang w:val="pt-BR"/>
        </w:rPr>
        <w:t>3.1.1. danos decorrentes de uso inadequado ou condições ambientais extremas;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624" w:right="0"/>
        <w:jc w:val="both"/>
        <w:rPr>
          <w:lang w:val="pt-BR"/>
        </w:rPr>
      </w:pPr>
      <w:r>
        <w:rPr>
          <w:rFonts w:cs="Arial" w:ascii="Arial" w:hAnsi="Arial"/>
          <w:lang w:val="pt-BR"/>
        </w:rPr>
        <w:t>3.1.2. danos provocados por instalação, manutenção ou reparo realizados por terceiros não autorizados pela CONTRATADA;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624" w:right="0"/>
        <w:jc w:val="both"/>
        <w:rPr>
          <w:lang w:val="pt-BR"/>
        </w:rPr>
      </w:pPr>
      <w:r>
        <w:rPr>
          <w:rFonts w:cs="Arial" w:ascii="Arial" w:hAnsi="Arial"/>
          <w:lang w:val="pt-BR"/>
        </w:rPr>
        <w:t>3.1.3. desgaste natural decorrente do uso regular.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rPr>
          <w:lang w:val="pt-BR"/>
        </w:rPr>
      </w:pPr>
      <w:r>
        <w:rPr>
          <w:rFonts w:cs="Arial" w:ascii="Arial" w:hAnsi="Arial"/>
          <w:b/>
          <w:lang w:val="pt-BR"/>
        </w:rPr>
        <w:t>4. PROCEDIMENTO DE ACIONAMENTO</w:t>
      </w:r>
    </w:p>
    <w:p>
      <w:pPr>
        <w:pStyle w:val="Normal"/>
        <w:spacing w:lineRule="auto" w:line="360" w:before="120" w:after="120"/>
        <w:rPr>
          <w:lang w:val="pt-BR"/>
        </w:rPr>
      </w:pPr>
      <w:r>
        <w:rPr>
          <w:rFonts w:cs="Arial" w:ascii="Arial" w:hAnsi="Arial"/>
          <w:b/>
          <w:lang w:val="pt-BR"/>
        </w:rPr>
        <w:t>4.I. COMUNICAÇÃO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>4.1. Para acionar a garantia, a DPE-PR deverá comunicar formalmente a CONTRATADA, mediante chamado técnico, e-mail ou telefone, informando o número do Contrato, o número da Nota Fiscal (ou documento equivalente) e a descrição do problema, podendo anexar imagens.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b/>
          <w:lang w:val="pt-BR"/>
        </w:rPr>
        <w:t>4.II. ATENDIMENTO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 xml:space="preserve">4.2. A CONTRATADA terá até </w:t>
      </w:r>
      <w:r>
        <w:rPr>
          <w:rFonts w:cs="Arial" w:ascii="Arial" w:hAnsi="Arial"/>
          <w:b/>
          <w:bCs/>
          <w:lang w:val="pt-BR"/>
        </w:rPr>
        <w:t xml:space="preserve">20 </w:t>
      </w:r>
      <w:r>
        <w:rPr>
          <w:rFonts w:cs="Arial" w:ascii="Arial" w:hAnsi="Arial"/>
          <w:b/>
          <w:lang w:val="pt-BR"/>
        </w:rPr>
        <w:t xml:space="preserve">(vinte) dias </w:t>
      </w:r>
      <w:r>
        <w:rPr>
          <w:rFonts w:cs="Arial" w:ascii="Arial" w:hAnsi="Arial"/>
          <w:lang w:val="pt-BR"/>
        </w:rPr>
        <w:t>para realizar o reparo ou a substituição, contados da retirada do produto pela própria CONTRATADA ou por assistência técnica por ela autorizada.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>4.3. O prazo poderá ser prorrogado uma única vez, por igual período, mediante justificativa formal da CONTRATADA e concordância expressa da DPE</w:t>
        <w:noBreakHyphen/>
        <w:t>PR.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b/>
          <w:bCs/>
          <w:lang w:val="pt-BR"/>
        </w:rPr>
        <w:t>4.III. MEDIDAS CASO O VÍCIO NÃO SEJA SANADO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>4.4. Não solucionado o vício dentro do prazo (incluindo eventual prorrogação), e mantida a inadequação, a DPE</w:t>
        <w:noBreakHyphen/>
        <w:t>PR poderá exigir, alternativamente: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lang w:val="pt-BR"/>
        </w:rPr>
      </w:pPr>
      <w:r>
        <w:rPr>
          <w:rFonts w:cs="Arial" w:ascii="Arial" w:hAnsi="Arial"/>
          <w:lang w:val="pt-BR"/>
        </w:rPr>
        <w:t>4.4.1. a substituição por produto da mesma espécie, em perfeitas condições;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lang w:val="pt-BR"/>
        </w:rPr>
      </w:pPr>
      <w:r>
        <w:rPr>
          <w:rFonts w:cs="Arial" w:ascii="Arial" w:hAnsi="Arial"/>
          <w:lang w:val="pt-BR"/>
        </w:rPr>
        <w:t>4.4.2. a restituição atualizada das quantias pagas ou abatimento proporcional do preço;</w:t>
      </w:r>
    </w:p>
    <w:p>
      <w:pPr>
        <w:pStyle w:val="Normal"/>
        <w:widowControl w:val="false"/>
        <w:suppressAutoHyphens w:val="true"/>
        <w:bidi w:val="0"/>
        <w:spacing w:lineRule="auto" w:line="360" w:before="120" w:after="120"/>
        <w:ind w:hanging="0" w:left="567" w:right="0"/>
        <w:jc w:val="both"/>
        <w:rPr>
          <w:lang w:val="pt-BR"/>
        </w:rPr>
      </w:pPr>
      <w:r>
        <w:rPr>
          <w:rFonts w:cs="Arial" w:ascii="Arial" w:hAnsi="Arial"/>
          <w:lang w:val="pt-BR"/>
        </w:rPr>
        <w:t>4.4.3. outra solução acordada entre as partes, observando o interesse público.</w:t>
      </w:r>
    </w:p>
    <w:p>
      <w:pPr>
        <w:pStyle w:val="Normal"/>
        <w:spacing w:lineRule="auto" w:line="360" w:before="120" w:after="120"/>
        <w:rPr>
          <w:lang w:val="pt-BR"/>
        </w:rPr>
      </w:pPr>
      <w:r>
        <w:rPr>
          <w:rFonts w:cs="Arial" w:ascii="Arial" w:hAnsi="Arial"/>
          <w:b/>
          <w:bCs/>
          <w:lang w:val="pt-BR"/>
        </w:rPr>
        <w:t>4.IV.</w:t>
      </w:r>
      <w:r>
        <w:rPr>
          <w:rFonts w:cs="Arial" w:ascii="Arial" w:hAnsi="Arial"/>
          <w:lang w:val="pt-BR"/>
        </w:rPr>
        <w:t xml:space="preserve"> </w:t>
      </w:r>
      <w:r>
        <w:rPr>
          <w:rFonts w:cs="Arial" w:ascii="Arial" w:hAnsi="Arial"/>
          <w:b/>
          <w:lang w:val="pt-BR"/>
        </w:rPr>
        <w:t>CONDIÇÕES DE LOGÍSTICA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>4.5. A retirada e a devolução dos bens objeto de acionamento de garantia devem ocorrer na unidade da DPE-PR em que foram instalados, sem ônus para esta. O reparo ou a substituição serão realizados no local de instalação, quando tecnicamente possível, e, quando o vício exigir a remoção do bem, o reparo será executado nas dependências da CONTRATADA ou de assistência técnica por ela autorizada, com posterior devolução à unidade da DPE-PR.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>4.6. Todos os custos de transporte, deslocamento e logística serão integralmente suportados pela CONTRATADA.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b/>
          <w:lang w:val="pt-BR"/>
        </w:rPr>
        <w:t>5. PENALIDADES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>5.1. O descumprimento das obrigações estabelecidas neste Termo de Garantia sujeita a CONTRATADA às penalidades previstas na Lei nº 14.133/2021 e na Deliberação CSDP nº 043/2023.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b/>
          <w:lang w:val="pt-BR"/>
        </w:rPr>
        <w:t>6. DISPOSIÇÕES FINAIS</w:t>
      </w:r>
    </w:p>
    <w:p>
      <w:pPr>
        <w:pStyle w:val="Normal"/>
        <w:spacing w:lineRule="auto" w:line="360" w:before="120" w:after="120"/>
        <w:jc w:val="both"/>
        <w:rPr>
          <w:lang w:val="pt-BR"/>
        </w:rPr>
      </w:pPr>
      <w:r>
        <w:rPr>
          <w:rFonts w:cs="Arial" w:ascii="Arial" w:hAnsi="Arial"/>
          <w:lang w:val="pt-BR"/>
        </w:rPr>
        <w:t xml:space="preserve">6.1. Aplicam-se ao presente Termo as disposições legais pertinentes, especialmente as previstas no Código de Defesa do Consumidor (Lei nº 8.078/1990) e na Lei nº 14.133/2021. 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</w:r>
    </w:p>
    <w:p>
      <w:pPr>
        <w:pStyle w:val="Normal"/>
        <w:spacing w:lineRule="auto" w:line="360" w:before="120" w:after="120"/>
        <w:rPr>
          <w:lang w:val="pt-BR"/>
        </w:rPr>
      </w:pPr>
      <w:r>
        <w:rPr>
          <w:rFonts w:cs="Arial" w:ascii="Arial" w:hAnsi="Arial"/>
          <w:lang w:val="pt-BR"/>
        </w:rPr>
        <w:t xml:space="preserve">Curitiba, </w:t>
      </w:r>
      <w:r>
        <w:rPr>
          <w:rFonts w:cs="Arial" w:ascii="Arial" w:hAnsi="Arial"/>
          <w:color w:val="FF0000"/>
          <w:lang w:val="pt-BR"/>
        </w:rPr>
        <w:t xml:space="preserve">[dd] </w:t>
      </w:r>
      <w:r>
        <w:rPr>
          <w:rFonts w:cs="Arial" w:ascii="Arial" w:hAnsi="Arial"/>
          <w:lang w:val="pt-BR"/>
        </w:rPr>
        <w:t xml:space="preserve">de </w:t>
      </w:r>
      <w:r>
        <w:rPr>
          <w:rFonts w:cs="Arial" w:ascii="Arial" w:hAnsi="Arial"/>
          <w:color w:val="FF0000"/>
          <w:lang w:val="pt-BR"/>
        </w:rPr>
        <w:t xml:space="preserve">[mês] </w:t>
      </w:r>
      <w:r>
        <w:rPr>
          <w:rFonts w:cs="Arial" w:ascii="Arial" w:hAnsi="Arial"/>
          <w:lang w:val="pt-BR"/>
        </w:rPr>
        <w:t xml:space="preserve">de </w:t>
      </w:r>
      <w:r>
        <w:rPr>
          <w:rFonts w:cs="Arial" w:ascii="Arial" w:hAnsi="Arial"/>
          <w:color w:val="FF0000"/>
          <w:lang w:val="pt-BR"/>
        </w:rPr>
        <w:t>[aaaa]</w:t>
      </w:r>
      <w:r>
        <w:rPr>
          <w:rFonts w:cs="Arial" w:ascii="Arial" w:hAnsi="Arial"/>
          <w:lang w:val="pt-BR"/>
        </w:rPr>
        <w:t>.</w:t>
      </w:r>
    </w:p>
    <w:p>
      <w:pPr>
        <w:pStyle w:val="Normal"/>
        <w:spacing w:lineRule="auto" w:line="360" w:before="120" w:after="120"/>
        <w:rPr>
          <w:rFonts w:ascii="Arial" w:hAnsi="Arial" w:cs="Arial"/>
          <w:lang w:val="pt-BR"/>
        </w:rPr>
      </w:pPr>
      <w:r>
        <w:rPr>
          <w:rFonts w:cs="Arial" w:ascii="Arial" w:hAnsi="Arial"/>
          <w:lang w:val="pt-BR"/>
        </w:rPr>
      </w:r>
    </w:p>
    <w:p>
      <w:pPr>
        <w:pStyle w:val="Normal"/>
        <w:spacing w:before="120" w:after="120"/>
        <w:jc w:val="center"/>
        <w:rPr>
          <w:rFonts w:ascii="Arial" w:hAnsi="Arial" w:cs="Arial"/>
          <w:b/>
          <w:color w:val="FF0000"/>
          <w:lang w:val="pt-BR"/>
        </w:rPr>
      </w:pPr>
      <w:r>
        <w:rPr>
          <w:rFonts w:cs="Arial" w:ascii="Arial" w:hAnsi="Arial"/>
          <w:b/>
          <w:color w:val="FF0000"/>
          <w:lang w:val="pt-BR"/>
        </w:rPr>
      </w:r>
    </w:p>
    <w:p>
      <w:pPr>
        <w:pStyle w:val="Normal"/>
        <w:spacing w:before="120" w:after="120"/>
        <w:jc w:val="center"/>
        <w:rPr>
          <w:lang w:val="pt-BR"/>
        </w:rPr>
      </w:pPr>
      <w:r>
        <w:rPr>
          <w:rFonts w:cs="Arial" w:ascii="Arial" w:hAnsi="Arial"/>
          <w:b/>
          <w:color w:val="FF0000"/>
          <w:lang w:val="pt-BR"/>
        </w:rPr>
        <w:t>[NOME DO REPRESENTANTE DA CONTRATADA]</w:t>
      </w:r>
    </w:p>
    <w:p>
      <w:pPr>
        <w:pStyle w:val="Normal"/>
        <w:spacing w:before="120" w:after="120"/>
        <w:jc w:val="center"/>
        <w:rPr>
          <w:lang w:val="pt-BR"/>
        </w:rPr>
      </w:pPr>
      <w:r>
        <w:rPr>
          <w:rFonts w:cs="Arial" w:ascii="Arial" w:hAnsi="Arial"/>
          <w:color w:val="FF0000"/>
          <w:lang w:val="pt-BR"/>
        </w:rPr>
        <w:t>[RAZÃO SOCIAL DA CONTRATADA]</w:t>
      </w:r>
    </w:p>
    <w:p>
      <w:pPr>
        <w:pStyle w:val="Normal"/>
        <w:spacing w:lineRule="auto" w:line="360" w:before="120" w:after="120"/>
        <w:rPr>
          <w:lang w:val="pt-BR"/>
        </w:rPr>
      </w:pPr>
      <w:r>
        <w:rPr>
          <w:lang w:val="pt-BR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134" w:gutter="0" w:header="720" w:top="1701" w:footer="720" w:bottom="1134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Segoe UI">
    <w:charset w:val="00"/>
    <w:family w:val="swiss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before="11" w:after="0"/>
      <w:rPr>
        <w:sz w:val="16"/>
        <w:szCs w:val="16"/>
      </w:rPr>
    </w:pPr>
    <w:r>
      <w:rPr>
        <w:sz w:val="16"/>
        <w:szCs w:val="16"/>
        <w:lang w:val="pt-BR"/>
      </w:rPr>
      <w:t>____________________________________________________________________________________________________________________</w:t>
    </w:r>
  </w:p>
  <w:p>
    <w:pPr>
      <w:pStyle w:val="Normal"/>
      <w:spacing w:lineRule="auto" w:line="276" w:before="120" w:after="0"/>
      <w:ind w:right="-6"/>
      <w:jc w:val="center"/>
      <w:rPr>
        <w:lang w:val="pt-BR"/>
      </w:rPr>
    </w:pPr>
    <w:r>
      <w:rPr>
        <w:rFonts w:ascii="Arial" w:hAnsi="Arial"/>
        <w:b/>
        <w:sz w:val="18"/>
        <w:szCs w:val="18"/>
        <w:lang w:val="pt-BR"/>
      </w:rPr>
      <w:t>DEFENSORIA</w:t>
    </w:r>
    <w:r>
      <w:rPr>
        <w:rFonts w:ascii="Arial" w:hAnsi="Arial"/>
        <w:b/>
        <w:spacing w:val="-9"/>
        <w:sz w:val="18"/>
        <w:szCs w:val="18"/>
        <w:lang w:val="pt-BR"/>
      </w:rPr>
      <w:t xml:space="preserve"> </w:t>
    </w:r>
    <w:r>
      <w:rPr>
        <w:rFonts w:ascii="Arial" w:hAnsi="Arial"/>
        <w:b/>
        <w:sz w:val="18"/>
        <w:szCs w:val="18"/>
        <w:lang w:val="pt-BR"/>
      </w:rPr>
      <w:t>PÚBLICA</w:t>
    </w:r>
    <w:r>
      <w:rPr>
        <w:rFonts w:ascii="Arial" w:hAnsi="Arial"/>
        <w:b/>
        <w:spacing w:val="-3"/>
        <w:sz w:val="18"/>
        <w:szCs w:val="18"/>
        <w:lang w:val="pt-BR"/>
      </w:rPr>
      <w:t xml:space="preserve"> </w:t>
    </w:r>
    <w:r>
      <w:rPr>
        <w:rFonts w:ascii="Arial" w:hAnsi="Arial"/>
        <w:b/>
        <w:sz w:val="18"/>
        <w:szCs w:val="18"/>
        <w:lang w:val="pt-BR"/>
      </w:rPr>
      <w:t>DO</w:t>
    </w:r>
    <w:r>
      <w:rPr>
        <w:rFonts w:ascii="Arial" w:hAnsi="Arial"/>
        <w:b/>
        <w:spacing w:val="-7"/>
        <w:sz w:val="18"/>
        <w:szCs w:val="18"/>
        <w:lang w:val="pt-BR"/>
      </w:rPr>
      <w:t xml:space="preserve"> </w:t>
    </w:r>
    <w:r>
      <w:rPr>
        <w:rFonts w:ascii="Arial" w:hAnsi="Arial"/>
        <w:b/>
        <w:sz w:val="18"/>
        <w:szCs w:val="18"/>
        <w:lang w:val="pt-BR"/>
      </w:rPr>
      <w:t>ESTADO DO PARANÁ</w:t>
    </w:r>
  </w:p>
  <w:p>
    <w:pPr>
      <w:pStyle w:val="Normal"/>
      <w:spacing w:lineRule="auto" w:line="276"/>
      <w:ind w:right="-7"/>
      <w:jc w:val="center"/>
      <w:rPr>
        <w:lang w:val="pt-BR"/>
      </w:rPr>
    </w:pPr>
    <w:r>
      <w:rPr>
        <w:rFonts w:ascii="Arial" w:hAnsi="Arial"/>
        <w:iCs/>
        <w:sz w:val="17"/>
        <w:szCs w:val="17"/>
        <w:lang w:val="pt-BR"/>
      </w:rPr>
      <w:t>Rua</w:t>
    </w:r>
    <w:r>
      <w:rPr>
        <w:rFonts w:ascii="Arial" w:hAnsi="Arial"/>
        <w:iCs/>
        <w:spacing w:val="-5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Mateus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Leme,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nº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1.908</w:t>
    </w:r>
    <w:r>
      <w:rPr>
        <w:rFonts w:ascii="Arial" w:hAnsi="Arial"/>
        <w:iCs/>
        <w:spacing w:val="-2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–</w:t>
    </w:r>
    <w:r>
      <w:rPr>
        <w:rFonts w:ascii="Arial" w:hAnsi="Arial"/>
        <w:iCs/>
        <w:spacing w:val="-7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Centro</w:t>
    </w:r>
    <w:r>
      <w:rPr>
        <w:rFonts w:ascii="Arial" w:hAnsi="Arial"/>
        <w:iCs/>
        <w:spacing w:val="-5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Cívico</w:t>
    </w:r>
    <w:r>
      <w:rPr>
        <w:rFonts w:ascii="Arial" w:hAnsi="Arial"/>
        <w:iCs/>
        <w:spacing w:val="-4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–</w:t>
    </w:r>
    <w:r>
      <w:rPr>
        <w:rFonts w:ascii="Arial" w:hAnsi="Arial"/>
        <w:iCs/>
        <w:spacing w:val="-7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Curitiba-Paraná –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CEP</w:t>
    </w:r>
    <w:r>
      <w:rPr>
        <w:rFonts w:ascii="Arial" w:hAnsi="Arial"/>
        <w:iCs/>
        <w:spacing w:val="-8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80.530-010 –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Telefone:</w:t>
    </w:r>
    <w:r>
      <w:rPr>
        <w:rFonts w:ascii="Arial" w:hAnsi="Arial"/>
        <w:iCs/>
        <w:spacing w:val="-2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(41)</w:t>
    </w:r>
    <w:r>
      <w:rPr>
        <w:rFonts w:ascii="Arial" w:hAnsi="Arial"/>
        <w:iCs/>
        <w:spacing w:val="-5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3313-7300</w:t>
    </w:r>
  </w:p>
  <w:p>
    <w:pPr>
      <w:pStyle w:val="Normal"/>
      <w:spacing w:lineRule="auto" w:line="276"/>
      <w:ind w:left="916" w:right="1175"/>
      <w:jc w:val="center"/>
      <w:rPr>
        <w:rFonts w:ascii="Arial" w:hAnsi="Arial"/>
        <w:iCs/>
        <w:sz w:val="17"/>
        <w:szCs w:val="17"/>
      </w:rPr>
    </w:pPr>
    <w:r>
      <w:rPr>
        <w:rFonts w:ascii="Arial" w:hAnsi="Arial"/>
        <w:iCs/>
        <w:sz w:val="17"/>
        <w:szCs w:val="17"/>
      </w:rPr>
    </w:r>
  </w:p>
  <w:p>
    <w:pPr>
      <w:pStyle w:val="Footer"/>
      <w:spacing w:lineRule="auto" w:line="276"/>
      <w:jc w:val="right"/>
      <w:rPr>
        <w:lang w:val="pt-BR"/>
      </w:rPr>
    </w:pPr>
    <w:r>
      <w:rPr>
        <w:rFonts w:cs="Arial" w:ascii="Arial" w:hAnsi="Arial"/>
        <w:sz w:val="18"/>
        <w:szCs w:val="18"/>
        <w:lang w:val="pt-BR"/>
      </w:rPr>
      <w:t xml:space="preserve">Página </w:t>
    </w:r>
    <w:r>
      <w:rPr>
        <w:rFonts w:cs="Arial" w:ascii="Arial" w:hAnsi="Arial"/>
        <w:b/>
        <w:bCs/>
        <w:sz w:val="18"/>
        <w:szCs w:val="18"/>
        <w:lang w:val="pt-BR"/>
      </w:rPr>
      <w:fldChar w:fldCharType="begin"/>
    </w:r>
    <w:r>
      <w:rPr>
        <w:sz w:val="18"/>
        <w:b/>
        <w:szCs w:val="18"/>
        <w:bCs/>
        <w:rFonts w:cs="Arial" w:ascii="Arial" w:hAnsi="Arial"/>
        <w:lang w:val="pt-BR"/>
      </w:rPr>
      <w:instrText xml:space="preserve"> PAGE </w:instrText>
    </w:r>
    <w:r>
      <w:rPr>
        <w:sz w:val="18"/>
        <w:b/>
        <w:szCs w:val="18"/>
        <w:bCs/>
        <w:rFonts w:cs="Arial" w:ascii="Arial" w:hAnsi="Arial"/>
        <w:lang w:val="pt-BR"/>
      </w:rPr>
      <w:fldChar w:fldCharType="separate"/>
    </w:r>
    <w:r>
      <w:rPr>
        <w:sz w:val="18"/>
        <w:b/>
        <w:szCs w:val="18"/>
        <w:bCs/>
        <w:rFonts w:cs="Arial" w:ascii="Arial" w:hAnsi="Arial"/>
        <w:lang w:val="pt-BR"/>
      </w:rPr>
      <w:t>3</w:t>
    </w:r>
    <w:r>
      <w:rPr>
        <w:sz w:val="18"/>
        <w:b/>
        <w:szCs w:val="18"/>
        <w:bCs/>
        <w:rFonts w:cs="Arial" w:ascii="Arial" w:hAnsi="Arial"/>
        <w:lang w:val="pt-BR"/>
      </w:rPr>
      <w:fldChar w:fldCharType="end"/>
    </w:r>
    <w:r>
      <w:rPr>
        <w:rFonts w:cs="Arial" w:ascii="Arial" w:hAnsi="Arial"/>
        <w:sz w:val="18"/>
        <w:szCs w:val="18"/>
        <w:lang w:val="pt-BR"/>
      </w:rPr>
      <w:t xml:space="preserve"> de </w:t>
    </w:r>
    <w:r>
      <w:rPr>
        <w:rFonts w:cs="Arial" w:ascii="Arial" w:hAnsi="Arial"/>
        <w:b/>
        <w:bCs/>
        <w:sz w:val="18"/>
        <w:szCs w:val="18"/>
        <w:lang w:val="pt-BR"/>
      </w:rPr>
      <w:fldChar w:fldCharType="begin"/>
    </w:r>
    <w:r>
      <w:rPr>
        <w:sz w:val="18"/>
        <w:b/>
        <w:szCs w:val="18"/>
        <w:bCs/>
        <w:rFonts w:cs="Arial" w:ascii="Arial" w:hAnsi="Arial"/>
        <w:lang w:val="pt-BR"/>
      </w:rPr>
      <w:instrText xml:space="preserve"> NUMPAGES </w:instrText>
    </w:r>
    <w:r>
      <w:rPr>
        <w:sz w:val="18"/>
        <w:b/>
        <w:szCs w:val="18"/>
        <w:bCs/>
        <w:rFonts w:cs="Arial" w:ascii="Arial" w:hAnsi="Arial"/>
        <w:lang w:val="pt-BR"/>
      </w:rPr>
      <w:fldChar w:fldCharType="separate"/>
    </w:r>
    <w:r>
      <w:rPr>
        <w:sz w:val="18"/>
        <w:b/>
        <w:szCs w:val="18"/>
        <w:bCs/>
        <w:rFonts w:cs="Arial" w:ascii="Arial" w:hAnsi="Arial"/>
        <w:lang w:val="pt-BR"/>
      </w:rPr>
      <w:t>3</w:t>
    </w:r>
    <w:r>
      <w:rPr>
        <w:sz w:val="18"/>
        <w:b/>
        <w:szCs w:val="18"/>
        <w:bCs/>
        <w:rFonts w:cs="Arial" w:ascii="Arial" w:hAnsi="Arial"/>
        <w:lang w:val="pt-BR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before="11" w:after="0"/>
      <w:rPr>
        <w:sz w:val="16"/>
        <w:szCs w:val="16"/>
      </w:rPr>
    </w:pPr>
    <w:r>
      <w:rPr>
        <w:sz w:val="16"/>
        <w:szCs w:val="16"/>
        <w:lang w:val="pt-BR"/>
      </w:rPr>
      <w:t>____________________________________________________________________________________________________________________</w:t>
    </w:r>
  </w:p>
  <w:p>
    <w:pPr>
      <w:pStyle w:val="Normal"/>
      <w:spacing w:lineRule="auto" w:line="276" w:before="120" w:after="0"/>
      <w:ind w:right="-6"/>
      <w:jc w:val="center"/>
      <w:rPr>
        <w:lang w:val="pt-BR"/>
      </w:rPr>
    </w:pPr>
    <w:r>
      <w:rPr>
        <w:rFonts w:ascii="Arial" w:hAnsi="Arial"/>
        <w:b/>
        <w:sz w:val="18"/>
        <w:szCs w:val="18"/>
        <w:lang w:val="pt-BR"/>
      </w:rPr>
      <w:t>DEFENSORIA</w:t>
    </w:r>
    <w:r>
      <w:rPr>
        <w:rFonts w:ascii="Arial" w:hAnsi="Arial"/>
        <w:b/>
        <w:spacing w:val="-9"/>
        <w:sz w:val="18"/>
        <w:szCs w:val="18"/>
        <w:lang w:val="pt-BR"/>
      </w:rPr>
      <w:t xml:space="preserve"> </w:t>
    </w:r>
    <w:r>
      <w:rPr>
        <w:rFonts w:ascii="Arial" w:hAnsi="Arial"/>
        <w:b/>
        <w:sz w:val="18"/>
        <w:szCs w:val="18"/>
        <w:lang w:val="pt-BR"/>
      </w:rPr>
      <w:t>PÚBLICA</w:t>
    </w:r>
    <w:r>
      <w:rPr>
        <w:rFonts w:ascii="Arial" w:hAnsi="Arial"/>
        <w:b/>
        <w:spacing w:val="-3"/>
        <w:sz w:val="18"/>
        <w:szCs w:val="18"/>
        <w:lang w:val="pt-BR"/>
      </w:rPr>
      <w:t xml:space="preserve"> </w:t>
    </w:r>
    <w:r>
      <w:rPr>
        <w:rFonts w:ascii="Arial" w:hAnsi="Arial"/>
        <w:b/>
        <w:sz w:val="18"/>
        <w:szCs w:val="18"/>
        <w:lang w:val="pt-BR"/>
      </w:rPr>
      <w:t>DO</w:t>
    </w:r>
    <w:r>
      <w:rPr>
        <w:rFonts w:ascii="Arial" w:hAnsi="Arial"/>
        <w:b/>
        <w:spacing w:val="-7"/>
        <w:sz w:val="18"/>
        <w:szCs w:val="18"/>
        <w:lang w:val="pt-BR"/>
      </w:rPr>
      <w:t xml:space="preserve"> </w:t>
    </w:r>
    <w:r>
      <w:rPr>
        <w:rFonts w:ascii="Arial" w:hAnsi="Arial"/>
        <w:b/>
        <w:sz w:val="18"/>
        <w:szCs w:val="18"/>
        <w:lang w:val="pt-BR"/>
      </w:rPr>
      <w:t>ESTADO DO PARANÁ</w:t>
    </w:r>
  </w:p>
  <w:p>
    <w:pPr>
      <w:pStyle w:val="Normal"/>
      <w:spacing w:lineRule="auto" w:line="276"/>
      <w:ind w:right="-7"/>
      <w:jc w:val="center"/>
      <w:rPr>
        <w:lang w:val="pt-BR"/>
      </w:rPr>
    </w:pPr>
    <w:r>
      <w:rPr>
        <w:rFonts w:ascii="Arial" w:hAnsi="Arial"/>
        <w:iCs/>
        <w:sz w:val="17"/>
        <w:szCs w:val="17"/>
        <w:lang w:val="pt-BR"/>
      </w:rPr>
      <w:t>Rua</w:t>
    </w:r>
    <w:r>
      <w:rPr>
        <w:rFonts w:ascii="Arial" w:hAnsi="Arial"/>
        <w:iCs/>
        <w:spacing w:val="-5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Mateus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Leme,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nº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1.908</w:t>
    </w:r>
    <w:r>
      <w:rPr>
        <w:rFonts w:ascii="Arial" w:hAnsi="Arial"/>
        <w:iCs/>
        <w:spacing w:val="-2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–</w:t>
    </w:r>
    <w:r>
      <w:rPr>
        <w:rFonts w:ascii="Arial" w:hAnsi="Arial"/>
        <w:iCs/>
        <w:spacing w:val="-7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Centro</w:t>
    </w:r>
    <w:r>
      <w:rPr>
        <w:rFonts w:ascii="Arial" w:hAnsi="Arial"/>
        <w:iCs/>
        <w:spacing w:val="-5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Cívico</w:t>
    </w:r>
    <w:r>
      <w:rPr>
        <w:rFonts w:ascii="Arial" w:hAnsi="Arial"/>
        <w:iCs/>
        <w:spacing w:val="-4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–</w:t>
    </w:r>
    <w:r>
      <w:rPr>
        <w:rFonts w:ascii="Arial" w:hAnsi="Arial"/>
        <w:iCs/>
        <w:spacing w:val="-7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Curitiba-Paraná –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CEP</w:t>
    </w:r>
    <w:r>
      <w:rPr>
        <w:rFonts w:ascii="Arial" w:hAnsi="Arial"/>
        <w:iCs/>
        <w:spacing w:val="-8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80.530-010 –</w:t>
    </w:r>
    <w:r>
      <w:rPr>
        <w:rFonts w:ascii="Arial" w:hAnsi="Arial"/>
        <w:iCs/>
        <w:spacing w:val="-3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Telefone:</w:t>
    </w:r>
    <w:r>
      <w:rPr>
        <w:rFonts w:ascii="Arial" w:hAnsi="Arial"/>
        <w:iCs/>
        <w:spacing w:val="-2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(41)</w:t>
    </w:r>
    <w:r>
      <w:rPr>
        <w:rFonts w:ascii="Arial" w:hAnsi="Arial"/>
        <w:iCs/>
        <w:spacing w:val="-5"/>
        <w:sz w:val="17"/>
        <w:szCs w:val="17"/>
        <w:lang w:val="pt-BR"/>
      </w:rPr>
      <w:t xml:space="preserve"> </w:t>
    </w:r>
    <w:r>
      <w:rPr>
        <w:rFonts w:ascii="Arial" w:hAnsi="Arial"/>
        <w:iCs/>
        <w:sz w:val="17"/>
        <w:szCs w:val="17"/>
        <w:lang w:val="pt-BR"/>
      </w:rPr>
      <w:t>3313-7300</w:t>
    </w:r>
  </w:p>
  <w:p>
    <w:pPr>
      <w:pStyle w:val="Normal"/>
      <w:spacing w:lineRule="auto" w:line="276"/>
      <w:ind w:left="916" w:right="1175"/>
      <w:jc w:val="center"/>
      <w:rPr>
        <w:rFonts w:ascii="Arial" w:hAnsi="Arial"/>
        <w:iCs/>
        <w:sz w:val="17"/>
        <w:szCs w:val="17"/>
      </w:rPr>
    </w:pPr>
    <w:r>
      <w:rPr>
        <w:rFonts w:ascii="Arial" w:hAnsi="Arial"/>
        <w:iCs/>
        <w:sz w:val="17"/>
        <w:szCs w:val="17"/>
      </w:rPr>
    </w:r>
  </w:p>
  <w:p>
    <w:pPr>
      <w:pStyle w:val="Footer"/>
      <w:spacing w:lineRule="auto" w:line="276"/>
      <w:jc w:val="right"/>
      <w:rPr>
        <w:lang w:val="pt-BR"/>
      </w:rPr>
    </w:pPr>
    <w:r>
      <w:rPr>
        <w:rFonts w:cs="Arial" w:ascii="Arial" w:hAnsi="Arial"/>
        <w:sz w:val="18"/>
        <w:szCs w:val="18"/>
        <w:lang w:val="pt-BR"/>
      </w:rPr>
      <w:t xml:space="preserve">Página </w:t>
    </w:r>
    <w:r>
      <w:rPr>
        <w:rFonts w:cs="Arial" w:ascii="Arial" w:hAnsi="Arial"/>
        <w:b/>
        <w:bCs/>
        <w:sz w:val="18"/>
        <w:szCs w:val="18"/>
        <w:lang w:val="pt-BR"/>
      </w:rPr>
      <w:fldChar w:fldCharType="begin"/>
    </w:r>
    <w:r>
      <w:rPr>
        <w:sz w:val="18"/>
        <w:b/>
        <w:szCs w:val="18"/>
        <w:bCs/>
        <w:rFonts w:cs="Arial" w:ascii="Arial" w:hAnsi="Arial"/>
        <w:lang w:val="pt-BR"/>
      </w:rPr>
      <w:instrText xml:space="preserve"> PAGE </w:instrText>
    </w:r>
    <w:r>
      <w:rPr>
        <w:sz w:val="18"/>
        <w:b/>
        <w:szCs w:val="18"/>
        <w:bCs/>
        <w:rFonts w:cs="Arial" w:ascii="Arial" w:hAnsi="Arial"/>
        <w:lang w:val="pt-BR"/>
      </w:rPr>
      <w:fldChar w:fldCharType="separate"/>
    </w:r>
    <w:r>
      <w:rPr>
        <w:sz w:val="18"/>
        <w:b/>
        <w:szCs w:val="18"/>
        <w:bCs/>
        <w:rFonts w:cs="Arial" w:ascii="Arial" w:hAnsi="Arial"/>
        <w:lang w:val="pt-BR"/>
      </w:rPr>
      <w:t>3</w:t>
    </w:r>
    <w:r>
      <w:rPr>
        <w:sz w:val="18"/>
        <w:b/>
        <w:szCs w:val="18"/>
        <w:bCs/>
        <w:rFonts w:cs="Arial" w:ascii="Arial" w:hAnsi="Arial"/>
        <w:lang w:val="pt-BR"/>
      </w:rPr>
      <w:fldChar w:fldCharType="end"/>
    </w:r>
    <w:r>
      <w:rPr>
        <w:rFonts w:cs="Arial" w:ascii="Arial" w:hAnsi="Arial"/>
        <w:sz w:val="18"/>
        <w:szCs w:val="18"/>
        <w:lang w:val="pt-BR"/>
      </w:rPr>
      <w:t xml:space="preserve"> de </w:t>
    </w:r>
    <w:r>
      <w:rPr>
        <w:rFonts w:cs="Arial" w:ascii="Arial" w:hAnsi="Arial"/>
        <w:b/>
        <w:bCs/>
        <w:sz w:val="18"/>
        <w:szCs w:val="18"/>
        <w:lang w:val="pt-BR"/>
      </w:rPr>
      <w:fldChar w:fldCharType="begin"/>
    </w:r>
    <w:r>
      <w:rPr>
        <w:sz w:val="18"/>
        <w:b/>
        <w:szCs w:val="18"/>
        <w:bCs/>
        <w:rFonts w:cs="Arial" w:ascii="Arial" w:hAnsi="Arial"/>
        <w:lang w:val="pt-BR"/>
      </w:rPr>
      <w:instrText xml:space="preserve"> NUMPAGES </w:instrText>
    </w:r>
    <w:r>
      <w:rPr>
        <w:sz w:val="18"/>
        <w:b/>
        <w:szCs w:val="18"/>
        <w:bCs/>
        <w:rFonts w:cs="Arial" w:ascii="Arial" w:hAnsi="Arial"/>
        <w:lang w:val="pt-BR"/>
      </w:rPr>
      <w:fldChar w:fldCharType="separate"/>
    </w:r>
    <w:r>
      <w:rPr>
        <w:sz w:val="18"/>
        <w:b/>
        <w:szCs w:val="18"/>
        <w:bCs/>
        <w:rFonts w:cs="Arial" w:ascii="Arial" w:hAnsi="Arial"/>
        <w:lang w:val="pt-BR"/>
      </w:rPr>
      <w:t>3</w:t>
    </w:r>
    <w:r>
      <w:rPr>
        <w:sz w:val="18"/>
        <w:b/>
        <w:szCs w:val="18"/>
        <w:bCs/>
        <w:rFonts w:cs="Arial" w:ascii="Arial" w:hAnsi="Arial"/>
        <w:lang w:val="pt-BR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before="160" w:after="0"/>
      <w:rPr>
        <w:rFonts w:ascii="Arial" w:hAnsi="Arial" w:cs="Arial"/>
        <w:lang w:val="pt-BR"/>
      </w:rPr>
    </w:pPr>
    <w:r>
      <w:rPr>
        <w:rFonts w:cs="Arial" w:ascii="Arial" w:hAnsi="Arial"/>
        <w:lang w:val="pt-BR"/>
      </w:rPr>
      <w:drawing>
        <wp:anchor behindDoc="1" distT="0" distB="0" distL="0" distR="0" simplePos="0" locked="0" layoutInCell="0" allowOverlap="1" relativeHeight="4">
          <wp:simplePos x="0" y="0"/>
          <wp:positionH relativeFrom="page">
            <wp:posOffset>1016000</wp:posOffset>
          </wp:positionH>
          <wp:positionV relativeFrom="paragraph">
            <wp:posOffset>-177165</wp:posOffset>
          </wp:positionV>
          <wp:extent cx="1758315" cy="728345"/>
          <wp:effectExtent l="0" t="0" r="0" b="0"/>
          <wp:wrapNone/>
          <wp:docPr id="1" name="image1.jpeg" descr="Desenho de personagem de desenho anima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Desenho de personagem de desenho animad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58315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Normal"/>
      <w:tabs>
        <w:tab w:val="clear" w:pos="720"/>
        <w:tab w:val="center" w:pos="4708" w:leader="none"/>
        <w:tab w:val="right" w:pos="9417" w:leader="none"/>
      </w:tabs>
      <w:ind w:right="-6"/>
      <w:rPr>
        <w:rFonts w:ascii="Arial" w:hAnsi="Arial" w:cs="Arial"/>
        <w:sz w:val="19"/>
        <w:szCs w:val="19"/>
      </w:rPr>
    </w:pPr>
    <w:r>
      <w:rPr>
        <w:rFonts w:cs="Arial" w:ascii="Arial" w:hAnsi="Arial"/>
        <w:sz w:val="20"/>
        <w:szCs w:val="20"/>
        <w:lang w:val="pt-BR"/>
      </w:rPr>
      <w:tab/>
      <w:tab/>
    </w:r>
    <w:r>
      <w:rPr>
        <w:rFonts w:cs="Arial" w:ascii="Arial" w:hAnsi="Arial"/>
        <w:sz w:val="19"/>
        <w:szCs w:val="19"/>
        <w:lang w:val="pt-BR"/>
      </w:rPr>
      <w:t>Diretoria de Contratações</w:t>
    </w:r>
  </w:p>
  <w:p>
    <w:pPr>
      <w:pStyle w:val="Header"/>
      <w:tabs>
        <w:tab w:val="clear" w:pos="8504"/>
        <w:tab w:val="center" w:pos="4252" w:leader="none"/>
        <w:tab w:val="right" w:pos="9072" w:leader="none"/>
      </w:tabs>
      <w:jc w:val="center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  <w:lang w:val="pt-BR"/>
      </w:rPr>
      <w:tab/>
    </w:r>
    <w:r>
      <w:rPr>
        <w:rFonts w:cs="Arial" w:ascii="Arial" w:hAnsi="Arial"/>
        <w:sz w:val="17"/>
        <w:szCs w:val="17"/>
        <w:lang w:val="pt-BR"/>
      </w:rPr>
      <w:tab/>
    </w:r>
    <w:r>
      <w:rPr>
        <w:rFonts w:cs="Arial" w:ascii="Arial" w:hAnsi="Arial"/>
        <w:sz w:val="18"/>
        <w:szCs w:val="18"/>
        <w:lang w:val="pt-BR"/>
      </w:rPr>
      <w:t>Coordenadoria de Formalização das Contratações e Convênios</w:t>
    </w:r>
  </w:p>
  <w:p>
    <w:pPr>
      <w:pStyle w:val="Header"/>
      <w:tabs>
        <w:tab w:val="clear" w:pos="8504"/>
        <w:tab w:val="center" w:pos="4252" w:leader="none"/>
        <w:tab w:val="right" w:pos="9072" w:leader="none"/>
      </w:tabs>
      <w:jc w:val="cent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  <w:lang w:val="pt-BR"/>
      </w:rPr>
      <w:t>_________________________________________________________________________________________________________</w:t>
    </w:r>
  </w:p>
  <w:p>
    <w:pPr>
      <w:pStyle w:val="Header"/>
      <w:tabs>
        <w:tab w:val="clear" w:pos="8504"/>
        <w:tab w:val="center" w:pos="4252" w:leader="none"/>
        <w:tab w:val="right" w:pos="9072" w:leader="none"/>
      </w:tabs>
      <w:rPr>
        <w:rFonts w:ascii="Arial" w:hAnsi="Arial" w:cs="Arial"/>
        <w:sz w:val="14"/>
        <w:szCs w:val="14"/>
      </w:rPr>
    </w:pPr>
    <w:r>
      <w:rPr>
        <w:rFonts w:cs="Arial" w:ascii="Arial" w:hAnsi="Arial"/>
        <w:sz w:val="14"/>
        <w:szCs w:val="14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shape_0" adj="10800" fillcolor="#dddddd" stroked="f" o:allowincell="f" style="position:absolute;margin-left:0.2pt;margin-top:254.45pt;width:467.3pt;height:138.2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MINUTA" style="font-family:&quot;Arial&quot;;font-size:1pt" trim="t"/>
          <v:fill o:detectmouseclick="t" type="solid" color2="#222222" opacity="0.5"/>
          <v:stroke color="#3465a4" joinstyle="round" endcap="flat"/>
          <w10:wrap type="none"/>
        </v:shape>
      </w:pic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before="160" w:after="0"/>
      <w:rPr>
        <w:rFonts w:ascii="Arial" w:hAnsi="Arial" w:cs="Arial"/>
        <w:lang w:val="pt-BR"/>
      </w:rPr>
    </w:pPr>
    <w:r>
      <w:rPr>
        <w:rFonts w:cs="Arial" w:ascii="Arial" w:hAnsi="Arial"/>
        <w:lang w:val="pt-BR"/>
      </w:rPr>
      <w:drawing>
        <wp:anchor behindDoc="1" distT="0" distB="0" distL="0" distR="0" simplePos="0" locked="0" layoutInCell="0" allowOverlap="1" relativeHeight="4">
          <wp:simplePos x="0" y="0"/>
          <wp:positionH relativeFrom="page">
            <wp:posOffset>1016000</wp:posOffset>
          </wp:positionH>
          <wp:positionV relativeFrom="paragraph">
            <wp:posOffset>-177165</wp:posOffset>
          </wp:positionV>
          <wp:extent cx="1758315" cy="728345"/>
          <wp:effectExtent l="0" t="0" r="0" b="0"/>
          <wp:wrapNone/>
          <wp:docPr id="3" name="image1.jpeg" descr="Desenho de personagem de desenho anima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jpeg" descr="Desenho de personagem de desenho animad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58315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Normal"/>
      <w:tabs>
        <w:tab w:val="clear" w:pos="720"/>
        <w:tab w:val="center" w:pos="4708" w:leader="none"/>
        <w:tab w:val="right" w:pos="9417" w:leader="none"/>
      </w:tabs>
      <w:ind w:right="-6"/>
      <w:rPr>
        <w:rFonts w:ascii="Arial" w:hAnsi="Arial" w:cs="Arial"/>
        <w:sz w:val="19"/>
        <w:szCs w:val="19"/>
      </w:rPr>
    </w:pPr>
    <w:r>
      <w:rPr>
        <w:rFonts w:cs="Arial" w:ascii="Arial" w:hAnsi="Arial"/>
        <w:sz w:val="20"/>
        <w:szCs w:val="20"/>
        <w:lang w:val="pt-BR"/>
      </w:rPr>
      <w:tab/>
      <w:tab/>
    </w:r>
    <w:r>
      <w:rPr>
        <w:rFonts w:cs="Arial" w:ascii="Arial" w:hAnsi="Arial"/>
        <w:sz w:val="19"/>
        <w:szCs w:val="19"/>
        <w:lang w:val="pt-BR"/>
      </w:rPr>
      <w:t>Diretoria de Contratações</w:t>
    </w:r>
  </w:p>
  <w:p>
    <w:pPr>
      <w:pStyle w:val="Header"/>
      <w:tabs>
        <w:tab w:val="clear" w:pos="8504"/>
        <w:tab w:val="center" w:pos="4252" w:leader="none"/>
        <w:tab w:val="right" w:pos="9072" w:leader="none"/>
      </w:tabs>
      <w:jc w:val="center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  <w:lang w:val="pt-BR"/>
      </w:rPr>
      <w:tab/>
    </w:r>
    <w:r>
      <w:rPr>
        <w:rFonts w:cs="Arial" w:ascii="Arial" w:hAnsi="Arial"/>
        <w:sz w:val="17"/>
        <w:szCs w:val="17"/>
        <w:lang w:val="pt-BR"/>
      </w:rPr>
      <w:tab/>
    </w:r>
    <w:r>
      <w:rPr>
        <w:rFonts w:cs="Arial" w:ascii="Arial" w:hAnsi="Arial"/>
        <w:sz w:val="18"/>
        <w:szCs w:val="18"/>
        <w:lang w:val="pt-BR"/>
      </w:rPr>
      <w:t>Coordenadoria de Formalização das Contratações e Convênios</w:t>
    </w:r>
  </w:p>
  <w:p>
    <w:pPr>
      <w:pStyle w:val="Header"/>
      <w:tabs>
        <w:tab w:val="clear" w:pos="8504"/>
        <w:tab w:val="center" w:pos="4252" w:leader="none"/>
        <w:tab w:val="right" w:pos="9072" w:leader="none"/>
      </w:tabs>
      <w:jc w:val="cent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  <w:lang w:val="pt-BR"/>
      </w:rPr>
      <w:t>_________________________________________________________________________________________________________</w:t>
    </w:r>
  </w:p>
  <w:p>
    <w:pPr>
      <w:pStyle w:val="Header"/>
      <w:tabs>
        <w:tab w:val="clear" w:pos="8504"/>
        <w:tab w:val="center" w:pos="4252" w:leader="none"/>
        <w:tab w:val="right" w:pos="9072" w:leader="none"/>
      </w:tabs>
      <w:rPr>
        <w:rFonts w:ascii="Arial" w:hAnsi="Arial" w:cs="Arial"/>
        <w:sz w:val="14"/>
        <w:szCs w:val="14"/>
      </w:rPr>
    </w:pPr>
    <w:r>
      <w:rPr>
        <w:rFonts w:cs="Arial" w:ascii="Arial" w:hAnsi="Arial"/>
        <w:sz w:val="14"/>
        <w:szCs w:val="14"/>
      </w:rPr>
      <w:pict>
        <v:shape id="PowerPlusWaterMarkObject" o:spid="shape_0" adj="10800" fillcolor="#dddddd" stroked="f" o:allowincell="f" style="position:absolute;margin-left:0.2pt;margin-top:254.45pt;width:467.3pt;height:138.2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MINUTA" style="font-family:&quot;Arial&quot;;font-size:1pt" trim="t"/>
          <v:fill o:detectmouseclick="t" type="solid" color2="#222222" opacity="0.5"/>
          <v:stroke color="#3465a4" joinstyle="round" endcap="flat"/>
          <w10:wrap type="none"/>
        </v:shape>
      </w:pic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5.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5.%1.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5.%1.%2.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5.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f609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t-PT" w:eastAsia="en-US" w:bidi="ar-SA"/>
    </w:rPr>
  </w:style>
  <w:style w:type="paragraph" w:styleId="Heading1">
    <w:name w:val="heading 1"/>
    <w:basedOn w:val="Normal"/>
    <w:uiPriority w:val="9"/>
    <w:qFormat/>
    <w:pPr>
      <w:ind w:left="141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Ttulo2Char"/>
    <w:uiPriority w:val="9"/>
    <w:semiHidden/>
    <w:unhideWhenUsed/>
    <w:qFormat/>
    <w:rsid w:val="00ff44ef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b2564e"/>
    <w:rPr>
      <w:rFonts w:ascii="Times New Roman" w:hAnsi="Times New Roman" w:eastAsia="Times New Roman" w:cs="Times New Roman"/>
      <w:lang w:val="pt-PT"/>
    </w:rPr>
  </w:style>
  <w:style w:type="character" w:styleId="RodapChar" w:customStyle="1">
    <w:name w:val="Rodapé Char"/>
    <w:basedOn w:val="DefaultParagraphFont"/>
    <w:uiPriority w:val="99"/>
    <w:qFormat/>
    <w:rsid w:val="00b2564e"/>
    <w:rPr>
      <w:rFonts w:ascii="Times New Roman" w:hAnsi="Times New Roman" w:eastAsia="Times New Roman" w:cs="Times New Roman"/>
      <w:lang w:val="pt-PT"/>
    </w:rPr>
  </w:style>
  <w:style w:type="character" w:styleId="Ttulo2Char" w:customStyle="1">
    <w:name w:val="Título 2 Char"/>
    <w:basedOn w:val="DefaultParagraphFont"/>
    <w:uiPriority w:val="9"/>
    <w:semiHidden/>
    <w:qFormat/>
    <w:rsid w:val="00ff44ef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  <w:lang w:val="pt-PT"/>
    </w:rPr>
  </w:style>
  <w:style w:type="character" w:styleId="Caracteresdenotaderodapuser" w:customStyle="1">
    <w:name w:val="Caracteres de nota de rodapé (user)"/>
    <w:uiPriority w:val="99"/>
    <w:semiHidden/>
    <w:unhideWhenUsed/>
    <w:qFormat/>
    <w:rsid w:val="006d6f9b"/>
    <w:rPr>
      <w:vertAlign w:val="superscript"/>
    </w:rPr>
  </w:style>
  <w:style w:type="character" w:styleId="Hyperlink1" w:customStyle="1">
    <w:name w:val="Hyperlink1"/>
    <w:basedOn w:val="DefaultParagraphFont"/>
    <w:qFormat/>
    <w:rsid w:val="00ff44ef"/>
    <w:rPr>
      <w:color w:val="0563C1"/>
      <w:u w:val="single"/>
    </w:rPr>
  </w:style>
  <w:style w:type="character" w:styleId="Hyperlink">
    <w:name w:val="Hyperlink"/>
    <w:basedOn w:val="DefaultParagraphFont"/>
    <w:uiPriority w:val="99"/>
    <w:unhideWhenUsed/>
    <w:rsid w:val="000c77c2"/>
    <w:rPr>
      <w:color w:themeColor="hyperlink" w:val="0000FF"/>
      <w:u w:val="single"/>
    </w:rPr>
  </w:style>
  <w:style w:type="character" w:styleId="Refdenotaderodap1" w:customStyle="1">
    <w:name w:val="Ref. de nota de rodapé1"/>
    <w:qFormat/>
    <w:rsid w:val="00ff44ef"/>
    <w:rPr>
      <w:vertAlign w:val="superscript"/>
    </w:rPr>
  </w:style>
  <w:style w:type="character" w:styleId="TextodenotaderodapChar" w:customStyle="1">
    <w:name w:val="Texto de nota de rodapé Char"/>
    <w:basedOn w:val="DefaultParagraphFont"/>
    <w:uiPriority w:val="99"/>
    <w:qFormat/>
    <w:rsid w:val="00ff44ef"/>
    <w:rPr>
      <w:rFonts w:ascii="Calibri" w:hAnsi="Calibri" w:eastAsia="Calibri" w:cs="F"/>
      <w:lang w:val="pt-BR"/>
    </w:rPr>
  </w:style>
  <w:style w:type="character" w:styleId="MenoPendente1" w:customStyle="1">
    <w:name w:val="Menção Pendente1"/>
    <w:basedOn w:val="DefaultParagraphFont"/>
    <w:uiPriority w:val="99"/>
    <w:semiHidden/>
    <w:unhideWhenUsed/>
    <w:qFormat/>
    <w:rsid w:val="00fa46f7"/>
    <w:rPr>
      <w:color w:val="605E5C"/>
      <w:shd w:fill="E1DFDD" w:val="clear"/>
    </w:rPr>
  </w:style>
  <w:style w:type="character" w:styleId="CommentReference">
    <w:name w:val="annotation reference"/>
    <w:uiPriority w:val="99"/>
    <w:semiHidden/>
    <w:unhideWhenUsed/>
    <w:qFormat/>
    <w:rsid w:val="00f42fad"/>
    <w:rPr>
      <w:sz w:val="16"/>
      <w:szCs w:val="16"/>
    </w:rPr>
  </w:style>
  <w:style w:type="character" w:styleId="TextodecomentrioChar" w:customStyle="1">
    <w:name w:val="Texto de comentário Char"/>
    <w:basedOn w:val="DefaultParagraphFont"/>
    <w:uiPriority w:val="99"/>
    <w:qFormat/>
    <w:rsid w:val="00f42fad"/>
    <w:rPr>
      <w:rFonts w:ascii="Calibri" w:hAnsi="Calibri" w:eastAsia="" w:cs="Times New Roman" w:eastAsiaTheme="minorEastAsia"/>
      <w:sz w:val="20"/>
      <w:szCs w:val="20"/>
      <w:lang w:val="x-none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97270a"/>
    <w:rPr>
      <w:rFonts w:ascii="Times New Roman" w:hAnsi="Times New Roman" w:eastAsia="Times New Roman" w:cs="Times New Roman"/>
      <w:b/>
      <w:bCs/>
      <w:sz w:val="20"/>
      <w:szCs w:val="20"/>
      <w:lang w:val="pt-PT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97270a"/>
    <w:rPr>
      <w:rFonts w:ascii="Segoe UI" w:hAnsi="Segoe UI" w:eastAsia="Times New Roman" w:cs="Segoe UI"/>
      <w:sz w:val="18"/>
      <w:szCs w:val="18"/>
      <w:lang w:val="pt-PT"/>
    </w:rPr>
  </w:style>
  <w:style w:type="character" w:styleId="Nvel3-RChar" w:customStyle="1">
    <w:name w:val="Nível 3-R Char"/>
    <w:basedOn w:val="DefaultParagraphFont"/>
    <w:link w:val="Nvel3-R"/>
    <w:qFormat/>
    <w:rsid w:val="0024078c"/>
    <w:rPr>
      <w:rFonts w:ascii="Arial" w:hAnsi="Arial" w:eastAsia="" w:cs="Arial" w:eastAsiaTheme="minorEastAsia"/>
      <w:i/>
      <w:iCs/>
      <w:color w:val="FF0000"/>
      <w:lang w:val="pt-BR" w:eastAsia="pt-BR"/>
    </w:rPr>
  </w:style>
  <w:style w:type="character" w:styleId="LineNumber">
    <w:name w:val="line number"/>
    <w:rPr/>
  </w:style>
  <w:style w:type="character" w:styleId="Caracteresdenotadefim">
    <w:name w:val="Caracteres de nota de fim"/>
    <w:qFormat/>
    <w:rPr>
      <w:vertAlign w:val="superscript"/>
    </w:rPr>
  </w:style>
  <w:style w:type="character" w:styleId="Caracteresdenotadefimuser" w:customStyle="1">
    <w:name w:val="Caracteres de nota de fim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MenoPendente2" w:customStyle="1">
    <w:name w:val="Menção Pendente2"/>
    <w:basedOn w:val="DefaultParagraphFont"/>
    <w:uiPriority w:val="99"/>
    <w:semiHidden/>
    <w:unhideWhenUsed/>
    <w:qFormat/>
    <w:rsid w:val="00ef06bf"/>
    <w:rPr>
      <w:color w:val="605E5C"/>
      <w:shd w:fill="E1DFDD" w:val="clear"/>
    </w:rPr>
  </w:style>
  <w:style w:type="character" w:styleId="Caracteresdenotaderodap">
    <w:name w:val="Caracteres de nota de rodapé"/>
    <w:uiPriority w:val="99"/>
    <w:semiHidden/>
    <w:unhideWhenUsed/>
    <w:qFormat/>
    <w:rsid w:val="001b2db0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ntepargpadro2" w:customStyle="1">
    <w:name w:val="Fonte parág. padrão2"/>
    <w:qFormat/>
    <w:rsid w:val="00537737"/>
    <w:rPr/>
  </w:style>
  <w:style w:type="character" w:styleId="Strong">
    <w:name w:val="Strong"/>
    <w:basedOn w:val="DefaultParagraphFont"/>
    <w:uiPriority w:val="22"/>
    <w:qFormat/>
    <w:rsid w:val="00724d3b"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 w:customStyle="1">
    <w:name w:val="Índice (user)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qFormat/>
    <w:pPr>
      <w:ind w:hanging="708" w:left="849" w:right="397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Default" w:customStyle="1">
    <w:name w:val="Default"/>
    <w:qFormat/>
    <w:rsid w:val="00c8669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t-BR" w:eastAsia="en-US" w:bidi="ar-SA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erodap1">
    <w:name w:val="Cabeçalho e rodapé1"/>
    <w:basedOn w:val="Normal"/>
    <w:qFormat/>
    <w:pPr/>
    <w:rPr/>
  </w:style>
  <w:style w:type="paragraph" w:styleId="Cabealhoerodap2">
    <w:name w:val="Cabeçalho e rodapé2"/>
    <w:basedOn w:val="Normal"/>
    <w:qFormat/>
    <w:pPr/>
    <w:rPr/>
  </w:style>
  <w:style w:type="paragraph" w:styleId="Cabealhoerodap3">
    <w:name w:val="Cabeçalho e rodapé3"/>
    <w:basedOn w:val="Normal"/>
    <w:qFormat/>
    <w:pPr/>
    <w:rPr/>
  </w:style>
  <w:style w:type="paragraph" w:styleId="Cabealhoerodap4">
    <w:name w:val="Cabeçalho e rodapé4"/>
    <w:basedOn w:val="Normal"/>
    <w:qFormat/>
    <w:pPr/>
    <w:rPr/>
  </w:style>
  <w:style w:type="paragraph" w:styleId="Cabealhoerodap5">
    <w:name w:val="Cabeçalho e rodapé5"/>
    <w:basedOn w:val="Normal"/>
    <w:qFormat/>
    <w:pPr/>
    <w:rPr/>
  </w:style>
  <w:style w:type="paragraph" w:styleId="Cabealhoerodap6">
    <w:name w:val="Cabeçalho e rodapé6"/>
    <w:basedOn w:val="Normal"/>
    <w:qFormat/>
    <w:pPr/>
    <w:rPr/>
  </w:style>
  <w:style w:type="paragraph" w:styleId="Cabealhoerodap7">
    <w:name w:val="Cabeçalho e rodapé7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b2564e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link w:val="RodapChar"/>
    <w:unhideWhenUsed/>
    <w:rsid w:val="00b2564e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Standard" w:customStyle="1">
    <w:name w:val="Standard"/>
    <w:qFormat/>
    <w:rsid w:val="00126c3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t-BR" w:eastAsia="zh-CN" w:bidi="ar-SA"/>
    </w:rPr>
  </w:style>
  <w:style w:type="paragraph" w:styleId="Footnote" w:customStyle="1">
    <w:name w:val="Footnote"/>
    <w:basedOn w:val="Standard"/>
    <w:qFormat/>
    <w:rsid w:val="00ff44ef"/>
    <w:pPr/>
    <w:rPr>
      <w:kern w:val="0"/>
      <w:lang w:eastAsia="ar-SA"/>
    </w:rPr>
  </w:style>
  <w:style w:type="paragraph" w:styleId="Subitem1" w:customStyle="1">
    <w:name w:val="Subitem 1"/>
    <w:basedOn w:val="Heading2"/>
    <w:qFormat/>
    <w:rsid w:val="00ff44ef"/>
    <w:pPr>
      <w:keepNext w:val="false"/>
      <w:keepLines w:val="false"/>
      <w:spacing w:lineRule="auto" w:line="276" w:before="0" w:after="0"/>
      <w:jc w:val="both"/>
      <w:textAlignment w:val="baseline"/>
      <w:outlineLvl w:val="9"/>
    </w:pPr>
    <w:rPr>
      <w:rFonts w:ascii="Arial" w:hAnsi="Arial" w:eastAsia="Arial" w:cs="Arial"/>
      <w:sz w:val="24"/>
      <w:szCs w:val="24"/>
      <w:lang w:val="pt-BR" w:eastAsia="ar-SA"/>
    </w:rPr>
  </w:style>
  <w:style w:type="paragraph" w:styleId="FootnoteText">
    <w:name w:val="footnote text"/>
    <w:basedOn w:val="Normal"/>
    <w:link w:val="TextodenotaderodapChar"/>
    <w:uiPriority w:val="99"/>
    <w:rsid w:val="00ff44ef"/>
    <w:pPr>
      <w:textAlignment w:val="baseline"/>
    </w:pPr>
    <w:rPr>
      <w:rFonts w:ascii="Calibri" w:hAnsi="Calibri" w:eastAsia="Calibri" w:cs="F"/>
      <w:lang w:val="pt-BR"/>
    </w:rPr>
  </w:style>
  <w:style w:type="paragraph" w:styleId="Nivel3" w:customStyle="1">
    <w:name w:val="Nivel 3"/>
    <w:basedOn w:val="Normal"/>
    <w:qFormat/>
    <w:rsid w:val="00ff44ef"/>
    <w:pPr>
      <w:numPr>
        <w:ilvl w:val="0"/>
        <w:numId w:val="1"/>
      </w:numPr>
      <w:spacing w:lineRule="auto" w:line="276" w:before="120" w:after="120"/>
      <w:ind w:left="1072"/>
      <w:jc w:val="both"/>
      <w:textAlignment w:val="baseline"/>
    </w:pPr>
    <w:rPr>
      <w:rFonts w:ascii="Arial" w:hAnsi="Arial" w:eastAsia="" w:cs="Arial" w:eastAsiaTheme="minorEastAsia"/>
      <w:color w:val="000000"/>
      <w:lang w:val="pt-BR" w:eastAsia="pt-BR"/>
    </w:rPr>
  </w:style>
  <w:style w:type="paragraph" w:styleId="Nvel3-R" w:customStyle="1">
    <w:name w:val="Nível 3-R"/>
    <w:basedOn w:val="Nivel3"/>
    <w:link w:val="Nvel3-RChar"/>
    <w:qFormat/>
    <w:rsid w:val="00ff44ef"/>
    <w:pPr/>
    <w:rPr>
      <w:i/>
      <w:iCs/>
      <w:color w:val="FF0000"/>
    </w:rPr>
  </w:style>
  <w:style w:type="paragraph" w:styleId="CommentText">
    <w:name w:val="annotation text"/>
    <w:basedOn w:val="Normal"/>
    <w:link w:val="TextodecomentrioChar"/>
    <w:uiPriority w:val="99"/>
    <w:unhideWhenUsed/>
    <w:qFormat/>
    <w:rsid w:val="00f42fad"/>
    <w:pPr>
      <w:widowControl/>
      <w:spacing w:lineRule="auto" w:line="259" w:before="0" w:after="160"/>
    </w:pPr>
    <w:rPr>
      <w:rFonts w:ascii="Calibri" w:hAnsi="Calibri" w:eastAsia="" w:eastAsiaTheme="minorEastAsia"/>
      <w:sz w:val="20"/>
      <w:szCs w:val="20"/>
      <w:lang w:val="x-none"/>
    </w:rPr>
  </w:style>
  <w:style w:type="paragraph" w:styleId="annotationsubject">
    <w:name w:val="annotation subject"/>
    <w:basedOn w:val="CommentText"/>
    <w:next w:val="CommentText"/>
    <w:link w:val="AssuntodocomentrioChar"/>
    <w:uiPriority w:val="99"/>
    <w:semiHidden/>
    <w:unhideWhenUsed/>
    <w:qFormat/>
    <w:rsid w:val="0097270a"/>
    <w:pPr>
      <w:widowControl w:val="false"/>
      <w:spacing w:lineRule="auto" w:line="240" w:before="0" w:after="0"/>
    </w:pPr>
    <w:rPr>
      <w:rFonts w:ascii="Times New Roman" w:hAnsi="Times New Roman" w:eastAsia="Times New Roman"/>
      <w:b/>
      <w:bCs/>
      <w:lang w:val="pt-PT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97270a"/>
    <w:pPr/>
    <w:rPr>
      <w:rFonts w:ascii="Segoe UI" w:hAnsi="Segoe UI" w:cs="Segoe UI"/>
      <w:sz w:val="18"/>
      <w:szCs w:val="18"/>
    </w:rPr>
  </w:style>
  <w:style w:type="paragraph" w:styleId="Nvel2-Red" w:customStyle="1">
    <w:name w:val="Nível 2 -Red"/>
    <w:basedOn w:val="Normal"/>
    <w:qFormat/>
    <w:rsid w:val="0024078c"/>
    <w:pPr>
      <w:widowControl/>
      <w:spacing w:lineRule="auto" w:line="276" w:before="120" w:after="120"/>
      <w:jc w:val="both"/>
      <w:textAlignment w:val="baseline"/>
    </w:pPr>
    <w:rPr>
      <w:rFonts w:ascii="Arial" w:hAnsi="Arial" w:eastAsia="Arial" w:cs="Arial"/>
      <w:i/>
      <w:iCs/>
      <w:color w:val="FF0000"/>
      <w:sz w:val="20"/>
      <w:szCs w:val="20"/>
      <w:lang w:val="pt-BR"/>
    </w:rPr>
  </w:style>
  <w:style w:type="paragraph" w:styleId="Revision">
    <w:name w:val="Revision"/>
    <w:uiPriority w:val="99"/>
    <w:semiHidden/>
    <w:qFormat/>
    <w:rsid w:val="000b796f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t-PT" w:eastAsia="en-US" w:bidi="ar-SA"/>
    </w:rPr>
  </w:style>
  <w:style w:type="paragraph" w:styleId="citao2" w:customStyle="1">
    <w:name w:val="citação 2"/>
    <w:basedOn w:val="FootnoteText"/>
    <w:qFormat/>
    <w:rsid w:val="00ab1cbf"/>
    <w:pPr>
      <w:widowControl/>
      <w:suppressLineNumbers/>
      <w:shd w:val="clear" w:color="auto" w:fill="FFFFCC"/>
      <w:ind w:hanging="339" w:left="339"/>
    </w:pPr>
    <w:rPr>
      <w:rFonts w:ascii="Liberation Serif" w:hAnsi="Liberation Serif" w:eastAsia="NSimSun" w:cs="Arial"/>
      <w:kern w:val="2"/>
      <w:sz w:val="20"/>
      <w:szCs w:val="20"/>
      <w:lang w:eastAsia="zh-CN" w:bidi="hi-IN"/>
    </w:rPr>
  </w:style>
  <w:style w:type="paragraph" w:styleId="Contedodoquadro">
    <w:name w:val="Conteúdo do quadro"/>
    <w:basedOn w:val="Normal"/>
    <w:qFormat/>
    <w:pPr/>
    <w:rPr/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2940a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A09AD-88BB-4CC0-93D6-9ECCB9AAD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Application>LibreOffice/25.2.7.2$Windows_X86_64 LibreOffice_project/5cbfd1ab6520636bb5f7b99185aa69bd7456825d</Application>
  <AppVersion>15.0000</AppVersion>
  <Pages>3</Pages>
  <Words>686</Words>
  <Characters>4421</Characters>
  <CharactersWithSpaces>5068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2025-01-10T15:48:00Z</dcterms:created>
  <dc:creator>est.janaina.l</dc:creator>
  <dc:description/>
  <dc:language>pt-BR</dc:language>
  <cp:lastModifiedBy>Fabia Mariela</cp:lastModifiedBy>
  <cp:lastPrinted>2026-02-06T11:08:18Z</cp:lastPrinted>
  <dcterms:modified xsi:type="dcterms:W3CDTF">2026-02-06T11:08:42Z</dcterms:modified>
  <cp:revision>86</cp:revision>
  <dc:subject/>
  <dc:title>Microsoft Word - DESPACHO - ESTEL BOMBAS HIDRAULICAS LTDA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2022-10-04T00:00:00Z</vt:filetime>
  </property>
</Properties>
</file>